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1C" w:rsidRPr="001E101C" w:rsidRDefault="001E101C" w:rsidP="007856B5">
      <w:pPr>
        <w:jc w:val="center"/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</w:pPr>
    </w:p>
    <w:p w:rsidR="007856B5" w:rsidRPr="001E101C" w:rsidRDefault="00F57F9C" w:rsidP="007856B5">
      <w:pPr>
        <w:jc w:val="center"/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</w:pPr>
      <w:r w:rsidRPr="001E101C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 xml:space="preserve">KRITERIJI VREDNOVANJA </w:t>
      </w:r>
      <w:r w:rsidR="007856B5" w:rsidRPr="001E101C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>U ŠKOLI NA DALJINU</w:t>
      </w:r>
    </w:p>
    <w:p w:rsidR="00F57F9C" w:rsidRPr="001E101C" w:rsidRDefault="00F57F9C" w:rsidP="00F57F9C">
      <w:pPr>
        <w:jc w:val="center"/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</w:pPr>
      <w:r w:rsidRPr="001E101C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 xml:space="preserve">U NASTAVI </w:t>
      </w:r>
      <w:r w:rsidR="00AA5F9C" w:rsidRPr="001E101C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>MATEMATIKE</w:t>
      </w:r>
      <w:r w:rsidRPr="001E101C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 xml:space="preserve"> </w:t>
      </w:r>
      <w:r w:rsidR="00AA5F9C" w:rsidRPr="001E101C">
        <w:rPr>
          <w:rFonts w:ascii="Arabic Typesetting" w:hAnsi="Arabic Typesetting" w:cs="Arabic Typesetting" w:hint="cs"/>
          <w:b/>
          <w:bCs/>
          <w:color w:val="FF0000"/>
          <w:sz w:val="56"/>
          <w:szCs w:val="56"/>
        </w:rPr>
        <w:t>(5.r i 7.c)</w:t>
      </w:r>
    </w:p>
    <w:p w:rsidR="00F57F9C" w:rsidRPr="001E101C" w:rsidRDefault="00F57F9C" w:rsidP="00F57F9C">
      <w:pPr>
        <w:jc w:val="center"/>
        <w:rPr>
          <w:rFonts w:ascii="Arabic Typesetting" w:hAnsi="Arabic Typesetting" w:cs="Arabic Typesetting" w:hint="cs"/>
          <w:b/>
          <w:bCs/>
          <w:color w:val="FF0000"/>
          <w:sz w:val="36"/>
          <w:szCs w:val="36"/>
        </w:rPr>
      </w:pPr>
    </w:p>
    <w:p w:rsidR="007856B5" w:rsidRPr="001E101C" w:rsidRDefault="007856B5" w:rsidP="00F57F9C">
      <w:pPr>
        <w:jc w:val="center"/>
        <w:rPr>
          <w:rFonts w:ascii="Arabic Typesetting" w:hAnsi="Arabic Typesetting" w:cs="Arabic Typesetting" w:hint="cs"/>
          <w:b/>
          <w:bCs/>
          <w:color w:val="FF0000"/>
          <w:sz w:val="36"/>
          <w:szCs w:val="36"/>
        </w:rPr>
      </w:pPr>
    </w:p>
    <w:p w:rsidR="00F57F9C" w:rsidRPr="001E101C" w:rsidRDefault="00F57F9C" w:rsidP="00F57F9C">
      <w:pPr>
        <w:jc w:val="center"/>
        <w:rPr>
          <w:rFonts w:ascii="Arabic Typesetting" w:hAnsi="Arabic Typesetting" w:cs="Arabic Typesetting" w:hint="cs"/>
          <w:b/>
          <w:bCs/>
          <w:color w:val="FF0000"/>
          <w:sz w:val="36"/>
          <w:szCs w:val="36"/>
        </w:rPr>
      </w:pPr>
      <w:r w:rsidRPr="001E101C">
        <w:rPr>
          <w:rFonts w:ascii="Arabic Typesetting" w:hAnsi="Arabic Typesetting" w:cs="Arabic Typesetting" w:hint="cs"/>
          <w:b/>
          <w:noProof/>
          <w:color w:val="0070C0"/>
          <w:sz w:val="36"/>
          <w:szCs w:val="32"/>
        </w:rPr>
        <w:drawing>
          <wp:inline distT="0" distB="0" distL="0" distR="0" wp14:anchorId="17F8C31E" wp14:editId="3D62259D">
            <wp:extent cx="6168565" cy="2795293"/>
            <wp:effectExtent l="0" t="0" r="3810" b="5080"/>
            <wp:docPr id="1" name="Slika 1" descr="C:\Users\Admin\AppData\Local\Microsoft\Windows\INetCache\Content.MSO\3297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297E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47" cy="283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9C" w:rsidRPr="001E101C" w:rsidRDefault="00F57F9C" w:rsidP="00F57F9C">
      <w:pPr>
        <w:jc w:val="center"/>
        <w:rPr>
          <w:rFonts w:ascii="Arabic Typesetting" w:hAnsi="Arabic Typesetting" w:cs="Arabic Typesetting" w:hint="cs"/>
          <w:b/>
          <w:bCs/>
          <w:color w:val="FF0000"/>
          <w:sz w:val="36"/>
          <w:szCs w:val="36"/>
        </w:rPr>
      </w:pPr>
    </w:p>
    <w:p w:rsidR="001E101C" w:rsidRPr="001E101C" w:rsidRDefault="001E101C" w:rsidP="00F94BD2">
      <w:pPr>
        <w:spacing w:after="0"/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</w:pPr>
    </w:p>
    <w:p w:rsidR="001E101C" w:rsidRPr="001E101C" w:rsidRDefault="001E101C" w:rsidP="00F94BD2">
      <w:pPr>
        <w:spacing w:after="0"/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</w:pPr>
    </w:p>
    <w:p w:rsidR="001E101C" w:rsidRPr="001E101C" w:rsidRDefault="001E101C" w:rsidP="00F94BD2">
      <w:pPr>
        <w:spacing w:after="0"/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</w:pPr>
    </w:p>
    <w:p w:rsidR="001E101C" w:rsidRPr="001E101C" w:rsidRDefault="001E101C" w:rsidP="00F94BD2">
      <w:pPr>
        <w:spacing w:after="0"/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</w:p>
    <w:p w:rsidR="00F94BD2" w:rsidRPr="001E101C" w:rsidRDefault="00F94BD2" w:rsidP="00F94BD2">
      <w:pPr>
        <w:spacing w:after="0"/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</w:pP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lastRenderedPageBreak/>
        <w:t>KRITERIJI ZA V</w:t>
      </w:r>
      <w:r w:rsidR="00AA5F9C"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R</w:t>
      </w: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EDNOVANJE AKTIVNOSTI UČENIKA</w:t>
      </w:r>
      <w:r w:rsidR="00DD4499"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 xml:space="preserve"> </w:t>
      </w:r>
      <w:r w:rsidR="000D328C"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(izvor: Školska knjiga)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2600"/>
      </w:tblGrid>
      <w:tr w:rsidR="00F94BD2" w:rsidRPr="001E101C" w:rsidTr="001E101C">
        <w:tc>
          <w:tcPr>
            <w:tcW w:w="7866" w:type="dxa"/>
          </w:tcPr>
          <w:p w:rsidR="00F94BD2" w:rsidRPr="001E101C" w:rsidRDefault="00F94BD2" w:rsidP="001E101C">
            <w:pPr>
              <w:jc w:val="center"/>
              <w:rPr>
                <w:rFonts w:ascii="Arabic Typesetting" w:hAnsi="Arabic Typesetting" w:cs="Arabic Typesetting" w:hint="cs"/>
                <w:bCs/>
                <w:sz w:val="36"/>
                <w:szCs w:val="32"/>
              </w:rPr>
            </w:pPr>
            <w:r w:rsidRPr="001E101C">
              <w:rPr>
                <w:rFonts w:ascii="Arabic Typesetting" w:hAnsi="Arabic Typesetting" w:cs="Arabic Typesetting" w:hint="c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68777</wp:posOffset>
                  </wp:positionH>
                  <wp:positionV relativeFrom="paragraph">
                    <wp:posOffset>378132</wp:posOffset>
                  </wp:positionV>
                  <wp:extent cx="4855779" cy="6047190"/>
                  <wp:effectExtent l="0" t="0" r="254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779" cy="60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0" w:type="dxa"/>
          </w:tcPr>
          <w:p w:rsidR="00F94BD2" w:rsidRPr="001E101C" w:rsidRDefault="00F94BD2" w:rsidP="00F57F9C">
            <w:pPr>
              <w:rPr>
                <w:rFonts w:ascii="Arabic Typesetting" w:hAnsi="Arabic Typesetting" w:cs="Arabic Typesetting" w:hint="cs"/>
                <w:bCs/>
                <w:sz w:val="36"/>
                <w:szCs w:val="32"/>
              </w:rPr>
            </w:pPr>
          </w:p>
        </w:tc>
      </w:tr>
    </w:tbl>
    <w:p w:rsidR="001E101C" w:rsidRPr="001E101C" w:rsidRDefault="001E101C" w:rsidP="00F57F9C">
      <w:pPr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tbl>
      <w:tblPr>
        <w:tblStyle w:val="Reetkatablice"/>
        <w:tblpPr w:leftFromText="180" w:rightFromText="180" w:vertAnchor="page" w:horzAnchor="margin" w:tblpXSpec="center" w:tblpY="12191"/>
        <w:tblOverlap w:val="never"/>
        <w:tblW w:w="0" w:type="auto"/>
        <w:tblLook w:val="04A0" w:firstRow="1" w:lastRow="0" w:firstColumn="1" w:lastColumn="0" w:noHBand="0" w:noVBand="1"/>
      </w:tblPr>
      <w:tblGrid>
        <w:gridCol w:w="1674"/>
        <w:gridCol w:w="1587"/>
        <w:gridCol w:w="1217"/>
      </w:tblGrid>
      <w:tr w:rsidR="001E101C" w:rsidRPr="001E101C" w:rsidTr="001E101C">
        <w:tc>
          <w:tcPr>
            <w:tcW w:w="1674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Bodovi RP</w:t>
            </w:r>
          </w:p>
        </w:tc>
        <w:tc>
          <w:tcPr>
            <w:tcW w:w="158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Bodovi PP</w:t>
            </w:r>
          </w:p>
        </w:tc>
        <w:tc>
          <w:tcPr>
            <w:tcW w:w="121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Ocjena</w:t>
            </w:r>
          </w:p>
        </w:tc>
      </w:tr>
      <w:tr w:rsidR="001E101C" w:rsidRPr="001E101C" w:rsidTr="001E101C">
        <w:tc>
          <w:tcPr>
            <w:tcW w:w="1674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7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6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1E101C" w:rsidRPr="001E101C" w:rsidTr="001E101C">
        <w:tc>
          <w:tcPr>
            <w:tcW w:w="1674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5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3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5</w:t>
            </w:r>
          </w:p>
        </w:tc>
        <w:tc>
          <w:tcPr>
            <w:tcW w:w="121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1E101C" w:rsidRPr="001E101C" w:rsidTr="001E101C">
        <w:tc>
          <w:tcPr>
            <w:tcW w:w="1674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1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 w:rsidR="006A4A82">
              <w:rPr>
                <w:rFonts w:ascii="Arabic Typesetting" w:hAnsi="Arabic Typesetting" w:cs="Arabic Typesetting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1E101C" w:rsidRPr="001E101C" w:rsidRDefault="006A4A82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9</w:t>
            </w:r>
            <w:r w:rsidR="001E101C"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12</w:t>
            </w:r>
          </w:p>
        </w:tc>
        <w:tc>
          <w:tcPr>
            <w:tcW w:w="121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E101C" w:rsidRPr="001E101C" w:rsidTr="001E101C">
        <w:tc>
          <w:tcPr>
            <w:tcW w:w="1674" w:type="dxa"/>
            <w:vAlign w:val="center"/>
          </w:tcPr>
          <w:p w:rsidR="001E101C" w:rsidRPr="001E101C" w:rsidRDefault="006A4A82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9</w:t>
            </w:r>
            <w:r w:rsidR="001E101C"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1E101C" w:rsidRPr="001E101C" w:rsidRDefault="006A4A82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7</w:t>
            </w:r>
            <w:r w:rsidR="001E101C"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1E101C" w:rsidRPr="001E101C" w:rsidTr="001E101C">
        <w:tc>
          <w:tcPr>
            <w:tcW w:w="1674" w:type="dxa"/>
            <w:vAlign w:val="center"/>
          </w:tcPr>
          <w:p w:rsidR="001E101C" w:rsidRPr="001E101C" w:rsidRDefault="006A4A82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</w:t>
            </w:r>
            <w:r w:rsidR="001E101C"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1E101C" w:rsidRPr="001E101C" w:rsidRDefault="006A4A82" w:rsidP="001E101C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</w:t>
            </w:r>
            <w:r w:rsidR="001E101C"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6</w:t>
            </w:r>
          </w:p>
        </w:tc>
        <w:tc>
          <w:tcPr>
            <w:tcW w:w="1217" w:type="dxa"/>
            <w:vAlign w:val="center"/>
          </w:tcPr>
          <w:p w:rsidR="001E101C" w:rsidRPr="001E101C" w:rsidRDefault="001E101C" w:rsidP="001E101C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1E101C" w:rsidRPr="001E101C" w:rsidRDefault="001E101C" w:rsidP="00F57F9C">
      <w:pPr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p w:rsidR="001E101C" w:rsidRPr="001E101C" w:rsidRDefault="001E101C" w:rsidP="00F57F9C">
      <w:pPr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p w:rsidR="001E101C" w:rsidRPr="001E101C" w:rsidRDefault="001E101C" w:rsidP="00F57F9C">
      <w:pPr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p w:rsidR="001E101C" w:rsidRPr="001E101C" w:rsidRDefault="001E101C" w:rsidP="00F57F9C">
      <w:pPr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p w:rsidR="001E101C" w:rsidRDefault="001E101C" w:rsidP="00F57F9C">
      <w:pPr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1E101C" w:rsidRDefault="001E101C" w:rsidP="00F57F9C">
      <w:pPr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F57F9C" w:rsidRPr="001E101C" w:rsidRDefault="00F94BD2" w:rsidP="00F57F9C">
      <w:pPr>
        <w:rPr>
          <w:rFonts w:ascii="Arabic Typesetting" w:hAnsi="Arabic Typesetting" w:cs="Arabic Typesetting" w:hint="cs"/>
          <w:bCs/>
          <w:sz w:val="36"/>
          <w:szCs w:val="32"/>
        </w:rPr>
      </w:pP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lastRenderedPageBreak/>
        <w:t xml:space="preserve">NAČINI VREDNOVANJA ZA UČENJE, KAO UČENJE I NAUČENOG (formativnog i </w:t>
      </w:r>
      <w:proofErr w:type="spellStart"/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sumativnog</w:t>
      </w:r>
      <w:proofErr w:type="spellEnd"/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 xml:space="preserve"> vrednovanja) </w:t>
      </w:r>
      <w:r w:rsidR="000D328C"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prema preporuci MZO</w:t>
      </w:r>
    </w:p>
    <w:p w:rsidR="00F57F9C" w:rsidRPr="001E101C" w:rsidRDefault="001E101C" w:rsidP="00F57F9C">
      <w:pPr>
        <w:spacing w:after="0"/>
        <w:rPr>
          <w:rFonts w:ascii="Arabic Typesetting" w:hAnsi="Arabic Typesetting" w:cs="Arabic Typesetting" w:hint="cs"/>
          <w:b/>
          <w:sz w:val="36"/>
          <w:szCs w:val="32"/>
        </w:rPr>
      </w:pPr>
      <w:r w:rsidRPr="001E101C">
        <w:rPr>
          <w:rFonts w:ascii="Arabic Typesetting" w:hAnsi="Arabic Typesetting" w:cs="Arabic Typesetting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412356</wp:posOffset>
            </wp:positionV>
            <wp:extent cx="8843563" cy="6274676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563" cy="627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F9C" w:rsidRPr="001E101C" w:rsidRDefault="00F57F9C" w:rsidP="00F57F9C">
      <w:pPr>
        <w:spacing w:after="0"/>
        <w:rPr>
          <w:rFonts w:ascii="Arabic Typesetting" w:hAnsi="Arabic Typesetting" w:cs="Arabic Typesetting" w:hint="cs"/>
          <w:sz w:val="28"/>
          <w:szCs w:val="28"/>
        </w:rPr>
      </w:pPr>
    </w:p>
    <w:p w:rsidR="001E101C" w:rsidRPr="001E101C" w:rsidRDefault="001E101C" w:rsidP="00F94BD2">
      <w:pPr>
        <w:spacing w:after="0"/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p w:rsidR="001E101C" w:rsidRPr="001E101C" w:rsidRDefault="001E101C" w:rsidP="00F94BD2">
      <w:pPr>
        <w:spacing w:after="0"/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1E101C" w:rsidRDefault="001E101C" w:rsidP="00F94BD2">
      <w:pPr>
        <w:spacing w:after="0"/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AA5F9C" w:rsidRPr="001E101C" w:rsidRDefault="00F94BD2" w:rsidP="00F94BD2">
      <w:pPr>
        <w:spacing w:after="0"/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lastRenderedPageBreak/>
        <w:t xml:space="preserve">KRITERIJI ZA VREDNOVANJE </w:t>
      </w:r>
      <w:r w:rsidR="00AA5F9C"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PROJEKTNOG ZADATKA</w:t>
      </w: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 xml:space="preserve"> </w:t>
      </w:r>
    </w:p>
    <w:p w:rsidR="00F94BD2" w:rsidRPr="001E101C" w:rsidRDefault="00F94BD2" w:rsidP="00F94BD2">
      <w:pPr>
        <w:spacing w:after="0"/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(</w:t>
      </w:r>
      <w:r w:rsidR="00AA5F9C"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7.r – Sustav linearnih jednadžbi s dvije nepoznanice</w:t>
      </w: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)</w:t>
      </w:r>
    </w:p>
    <w:p w:rsidR="00F94BD2" w:rsidRPr="001E101C" w:rsidRDefault="00F94BD2" w:rsidP="00F94BD2">
      <w:pPr>
        <w:spacing w:after="0"/>
        <w:rPr>
          <w:rFonts w:ascii="Arabic Typesetting" w:hAnsi="Arabic Typesetting" w:cs="Arabic Typesetting" w:hint="cs"/>
          <w:b/>
          <w:color w:val="FF0000"/>
          <w:sz w:val="28"/>
          <w:szCs w:val="28"/>
        </w:rPr>
      </w:pPr>
    </w:p>
    <w:p w:rsidR="00F94BD2" w:rsidRPr="00EB05C3" w:rsidRDefault="00AA5F9C" w:rsidP="00F94BD2">
      <w:pPr>
        <w:spacing w:after="0"/>
        <w:rPr>
          <w:rFonts w:ascii="Arabic Typesetting" w:hAnsi="Arabic Typesetting" w:cs="Arabic Typesetting" w:hint="cs"/>
          <w:sz w:val="32"/>
          <w:szCs w:val="32"/>
        </w:rPr>
      </w:pPr>
      <w:r w:rsidRPr="00EB05C3">
        <w:rPr>
          <w:rFonts w:ascii="Arabic Typesetting" w:hAnsi="Arabic Typesetting" w:cs="Arabic Typesetting" w:hint="cs"/>
          <w:sz w:val="32"/>
          <w:szCs w:val="32"/>
        </w:rPr>
        <w:t xml:space="preserve">Projektni zadatak </w:t>
      </w:r>
      <w:r w:rsidR="00F94BD2" w:rsidRPr="00EB05C3">
        <w:rPr>
          <w:rFonts w:ascii="Arabic Typesetting" w:hAnsi="Arabic Typesetting" w:cs="Arabic Typesetting" w:hint="cs"/>
          <w:sz w:val="32"/>
          <w:szCs w:val="32"/>
        </w:rPr>
        <w:t>se ocjenjuje prema sljedećim kriterijima, a ocjena proizlazi iz ukupnih bodova dobivenih zbrajanjem svih navedenih kriterija:</w:t>
      </w:r>
    </w:p>
    <w:p w:rsidR="00AA5F9C" w:rsidRPr="001E101C" w:rsidRDefault="00AA5F9C" w:rsidP="00AA5F9C">
      <w:pPr>
        <w:rPr>
          <w:rFonts w:ascii="Arabic Typesetting" w:hAnsi="Arabic Typesetting" w:cs="Arabic Typesetting" w:hint="cs"/>
        </w:rPr>
      </w:pP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2265"/>
        <w:gridCol w:w="2692"/>
        <w:gridCol w:w="2693"/>
        <w:gridCol w:w="2693"/>
      </w:tblGrid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</w:p>
        </w:tc>
        <w:tc>
          <w:tcPr>
            <w:tcW w:w="2692" w:type="dxa"/>
          </w:tcPr>
          <w:p w:rsidR="00AA5F9C" w:rsidRPr="001E101C" w:rsidRDefault="00AA5F9C" w:rsidP="007E06E6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3 boda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2 boda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 bod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Na osnovu slikovnog predloška zapisuje zadatak koji je moguće riješiti sustavom dviju linearnih jednadžbi s dvjema nepoznanicama  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Tekst zadatka je osmišljen pomoću slikovnog predloška i iz njega je moguće zapisati sustav dviju linearnih jednadžbi s dvjema nepoznanicama.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Tekst zadatka je osmišljen iz slikovnog predloška, ali iz njega nije moguće zapisati sustav dviju linearne jednadžbe s dvjema nepoznanicama. </w:t>
            </w:r>
          </w:p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Tekst zadatka je osmišljen pomoću slikovnog predloška, ali ne odgovara slici.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Uvodi nepoznanice koje omogućuju modeliranje zadatka jednadžbama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Nepoznanice su uvedene i odgovaraju nepoznatim vrijednostima iz zadatka.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Nepoznanice su uvedene ali jedna od njih nije u skladu s tekstom zadatka. 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Nepoznanice su uvedene, ali ne prate tekst zadatka.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Zapisuje (modelira) sustav dviju linearnih jednadžbi s dvjema nepoznanicama 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Obje jednadžbe su zapisane pomoću uvedenih nepoznanica i odgovaraju tekstu zadatka.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Jednadžbe su zapisane pomoću uvedenih nepoznanica, ali jedna ne odgovara tekstu zadatka.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Jednadžbe su zapisane pomoću uvedenih nepoznanica, ali ne odgovaraju tekstu zadatka.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Rješava sustav odabranom metodom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Metodu potpuno ispravno koristi u rješavanju sustava. Dobiva točna rješenja.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Metodu koristi ispravno, ali ne dobiva točna rješenja (pogreške u računanju).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Griješi u koracima metode, ne dobiva točna rješenja.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Zapisuje korištenu metodu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Zapisuje točnu metodu.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Zapisuje metodu koja ne odgovara njegovom rješenju.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Zapisuje rješenja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Rješenja su zapisana u obliku uređenog para i točna su.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Rješenja su zapisana u obliku uređenog para i nisu točna ili su točna ali ne zapisana u obliku uređenog para.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Provjerava točnosti rješenja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Učenik ispravno uvrštava dobivena rješenja u uvjete zadatka i provjerava točnost (dobiva jednakost).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Učenik provjerava dobivena rješenja, ispravno uvrštavajući u početne uvjete, no ne dobiva jednakost.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Učenik provjerava točnost uvrštavajući samo u jednu početnu jednadžbu.</w:t>
            </w:r>
          </w:p>
        </w:tc>
      </w:tr>
      <w:tr w:rsidR="00AA5F9C" w:rsidRPr="001E101C" w:rsidTr="007E06E6">
        <w:tc>
          <w:tcPr>
            <w:tcW w:w="2265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Zapisuje odgovor</w:t>
            </w:r>
          </w:p>
        </w:tc>
        <w:tc>
          <w:tcPr>
            <w:tcW w:w="2692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Odgovor je zapisan i točan je.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Odgovor je zapisan i djelomično je točan.</w:t>
            </w:r>
          </w:p>
        </w:tc>
        <w:tc>
          <w:tcPr>
            <w:tcW w:w="2693" w:type="dxa"/>
          </w:tcPr>
          <w:p w:rsidR="00AA5F9C" w:rsidRPr="001E101C" w:rsidRDefault="00AA5F9C" w:rsidP="007E06E6">
            <w:pPr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Odgovor je zapisan ali nije točan.</w:t>
            </w:r>
          </w:p>
        </w:tc>
      </w:tr>
    </w:tbl>
    <w:p w:rsidR="00AA5F9C" w:rsidRPr="001E101C" w:rsidRDefault="00AA5F9C" w:rsidP="00AA5F9C">
      <w:pPr>
        <w:rPr>
          <w:rFonts w:ascii="Arabic Typesetting" w:hAnsi="Arabic Typesetting" w:cs="Arabic Typesetting" w:hint="cs"/>
          <w:sz w:val="28"/>
          <w:szCs w:val="28"/>
        </w:rPr>
      </w:pPr>
    </w:p>
    <w:p w:rsidR="00AA5F9C" w:rsidRPr="00EB05C3" w:rsidRDefault="00AA5F9C" w:rsidP="00AA5F9C">
      <w:pPr>
        <w:rPr>
          <w:rFonts w:ascii="Arabic Typesetting" w:hAnsi="Arabic Typesetting" w:cs="Arabic Typesetting" w:hint="cs"/>
          <w:sz w:val="32"/>
          <w:szCs w:val="32"/>
        </w:rPr>
      </w:pPr>
      <w:r w:rsidRPr="00EB05C3">
        <w:rPr>
          <w:rFonts w:ascii="Arabic Typesetting" w:hAnsi="Arabic Typesetting" w:cs="Arabic Typesetting" w:hint="cs"/>
          <w:sz w:val="32"/>
          <w:szCs w:val="32"/>
        </w:rPr>
        <w:t>Ukoliko nije zadovoljen niti jedan kriterij po pojedinoj sastavnici, učenik za tu sastavnicu dobiva 0 bodova.</w:t>
      </w:r>
    </w:p>
    <w:p w:rsidR="00F94BD2" w:rsidRPr="001E101C" w:rsidRDefault="00F94BD2" w:rsidP="00F94BD2">
      <w:pPr>
        <w:spacing w:after="0"/>
        <w:jc w:val="center"/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785"/>
        <w:gridCol w:w="1786"/>
      </w:tblGrid>
      <w:tr w:rsidR="00F94BD2" w:rsidRPr="001E101C" w:rsidTr="002646D8">
        <w:trPr>
          <w:jc w:val="center"/>
        </w:trPr>
        <w:tc>
          <w:tcPr>
            <w:tcW w:w="1785" w:type="dxa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Bodovi RP</w:t>
            </w:r>
          </w:p>
        </w:tc>
        <w:tc>
          <w:tcPr>
            <w:tcW w:w="1785" w:type="dxa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Bodovi PP</w:t>
            </w:r>
          </w:p>
        </w:tc>
        <w:tc>
          <w:tcPr>
            <w:tcW w:w="1786" w:type="dxa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Ocjena</w:t>
            </w:r>
          </w:p>
        </w:tc>
      </w:tr>
      <w:tr w:rsidR="00052FFD" w:rsidRPr="001E101C" w:rsidTr="002646D8">
        <w:trPr>
          <w:jc w:val="center"/>
        </w:trPr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9 - 22</w:t>
            </w:r>
          </w:p>
        </w:tc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- 22</w:t>
            </w:r>
          </w:p>
        </w:tc>
        <w:tc>
          <w:tcPr>
            <w:tcW w:w="1786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052FFD" w:rsidRPr="001E101C" w:rsidTr="002646D8">
        <w:trPr>
          <w:jc w:val="center"/>
        </w:trPr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16 – 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5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7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052FFD" w:rsidRPr="001E101C" w:rsidTr="002646D8">
        <w:trPr>
          <w:jc w:val="center"/>
        </w:trPr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3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5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>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2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4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52FFD" w:rsidRPr="001E101C" w:rsidTr="002646D8">
        <w:trPr>
          <w:jc w:val="center"/>
        </w:trPr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9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12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1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1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52FFD" w:rsidRPr="001E101C" w:rsidTr="002646D8">
        <w:trPr>
          <w:jc w:val="center"/>
        </w:trPr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</w:t>
            </w:r>
            <w:r w:rsidRPr="001E101C">
              <w:rPr>
                <w:rFonts w:ascii="Arabic Typesetting" w:hAnsi="Arabic Typesetting" w:cs="Arabic Typesetting" w:hint="cs"/>
                <w:sz w:val="28"/>
                <w:szCs w:val="28"/>
              </w:rPr>
              <w:t xml:space="preserve"> –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7</w:t>
            </w:r>
          </w:p>
        </w:tc>
        <w:tc>
          <w:tcPr>
            <w:tcW w:w="1786" w:type="dxa"/>
          </w:tcPr>
          <w:p w:rsidR="00052FFD" w:rsidRPr="001E101C" w:rsidRDefault="00052FFD" w:rsidP="00052FFD">
            <w:pPr>
              <w:jc w:val="center"/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</w:pPr>
            <w:r w:rsidRPr="001E101C">
              <w:rPr>
                <w:rFonts w:ascii="Arabic Typesetting" w:hAnsi="Arabic Typesetting" w:cs="Arabic Typesetting" w:hint="cs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F94BD2" w:rsidRPr="001E101C" w:rsidRDefault="00F94BD2" w:rsidP="00F94BD2">
      <w:pPr>
        <w:spacing w:after="0"/>
        <w:rPr>
          <w:rFonts w:ascii="Arabic Typesetting" w:hAnsi="Arabic Typesetting" w:cs="Arabic Typesetting" w:hint="cs"/>
          <w:b/>
          <w:color w:val="0070C0"/>
          <w:sz w:val="32"/>
          <w:szCs w:val="32"/>
        </w:rPr>
      </w:pP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lastRenderedPageBreak/>
        <w:t>KRITERIJI ZA VREDNOVANJE ONLINE PROVJERA ZNANJA (</w:t>
      </w:r>
      <w:r w:rsidR="004B2C1C">
        <w:rPr>
          <w:rFonts w:ascii="Arabic Typesetting" w:hAnsi="Arabic Typesetting" w:cs="Arabic Typesetting"/>
          <w:b/>
          <w:color w:val="0070C0"/>
          <w:sz w:val="36"/>
          <w:szCs w:val="32"/>
        </w:rPr>
        <w:t xml:space="preserve">Google ili Microsoft </w:t>
      </w:r>
      <w:proofErr w:type="spellStart"/>
      <w:r w:rsidR="004B2C1C">
        <w:rPr>
          <w:rFonts w:ascii="Arabic Typesetting" w:hAnsi="Arabic Typesetting" w:cs="Arabic Typesetting"/>
          <w:b/>
          <w:color w:val="0070C0"/>
          <w:sz w:val="36"/>
          <w:szCs w:val="32"/>
        </w:rPr>
        <w:t>Forms</w:t>
      </w:r>
      <w:proofErr w:type="spellEnd"/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)</w:t>
      </w:r>
    </w:p>
    <w:p w:rsidR="00F94BD2" w:rsidRPr="001E101C" w:rsidRDefault="00F94BD2" w:rsidP="00F94BD2">
      <w:pPr>
        <w:spacing w:after="0"/>
        <w:jc w:val="center"/>
        <w:rPr>
          <w:rFonts w:ascii="Arabic Typesetting" w:hAnsi="Arabic Typesetting" w:cs="Arabic Typesetting" w:hint="cs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F94BD2" w:rsidRPr="001E101C" w:rsidTr="002646D8">
        <w:trPr>
          <w:trHeight w:val="423"/>
        </w:trPr>
        <w:tc>
          <w:tcPr>
            <w:tcW w:w="1000" w:type="pct"/>
            <w:vAlign w:val="center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</w:pPr>
            <w:r w:rsidRPr="001E101C"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  <w:t>Nedovoljan (1)</w:t>
            </w:r>
          </w:p>
        </w:tc>
        <w:tc>
          <w:tcPr>
            <w:tcW w:w="1000" w:type="pct"/>
            <w:vAlign w:val="center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</w:pPr>
            <w:r w:rsidRPr="001E101C"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  <w:t>Dovoljan (2)</w:t>
            </w:r>
          </w:p>
        </w:tc>
        <w:tc>
          <w:tcPr>
            <w:tcW w:w="1000" w:type="pct"/>
            <w:vAlign w:val="center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</w:pPr>
            <w:r w:rsidRPr="001E101C"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  <w:t>Dobar (3)</w:t>
            </w:r>
          </w:p>
        </w:tc>
        <w:tc>
          <w:tcPr>
            <w:tcW w:w="1000" w:type="pct"/>
            <w:vAlign w:val="center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</w:pPr>
            <w:r w:rsidRPr="001E101C"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  <w:t>Vrlo dobar (4)</w:t>
            </w:r>
          </w:p>
        </w:tc>
        <w:tc>
          <w:tcPr>
            <w:tcW w:w="1000" w:type="pct"/>
            <w:vAlign w:val="center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</w:pPr>
            <w:r w:rsidRPr="001E101C">
              <w:rPr>
                <w:rFonts w:ascii="Arabic Typesetting" w:hAnsi="Arabic Typesetting" w:cs="Arabic Typesetting" w:hint="cs"/>
                <w:b/>
                <w:color w:val="FF0000"/>
                <w:sz w:val="32"/>
                <w:szCs w:val="24"/>
              </w:rPr>
              <w:t>Odličan (5)</w:t>
            </w:r>
          </w:p>
        </w:tc>
      </w:tr>
      <w:tr w:rsidR="00F94BD2" w:rsidRPr="001E101C" w:rsidTr="002646D8">
        <w:trPr>
          <w:trHeight w:val="558"/>
        </w:trPr>
        <w:tc>
          <w:tcPr>
            <w:tcW w:w="1000" w:type="pct"/>
            <w:vAlign w:val="center"/>
          </w:tcPr>
          <w:p w:rsidR="00F94BD2" w:rsidRPr="001E101C" w:rsidRDefault="00F94BD2" w:rsidP="002646D8">
            <w:pPr>
              <w:jc w:val="center"/>
              <w:rPr>
                <w:rFonts w:ascii="Arabic Typesetting" w:hAnsi="Arabic Typesetting" w:cs="Arabic Typesetting" w:hint="cs"/>
                <w:b/>
                <w:sz w:val="32"/>
                <w:szCs w:val="24"/>
              </w:rPr>
            </w:pPr>
            <w:r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>0</w:t>
            </w:r>
            <w:r w:rsidR="004B2C1C">
              <w:rPr>
                <w:rFonts w:ascii="Arabic Typesetting" w:hAnsi="Arabic Typesetting" w:cs="Arabic Typesetting"/>
                <w:b/>
                <w:sz w:val="32"/>
                <w:szCs w:val="24"/>
              </w:rPr>
              <w:t>%</w:t>
            </w:r>
            <w:r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 xml:space="preserve"> – </w:t>
            </w:r>
            <w:r w:rsidR="004B2C1C">
              <w:rPr>
                <w:rFonts w:ascii="Arabic Typesetting" w:hAnsi="Arabic Typesetting" w:cs="Arabic Typesetting"/>
                <w:b/>
                <w:sz w:val="32"/>
                <w:szCs w:val="24"/>
              </w:rPr>
              <w:t>3</w:t>
            </w:r>
            <w:r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>9%</w:t>
            </w:r>
          </w:p>
        </w:tc>
        <w:tc>
          <w:tcPr>
            <w:tcW w:w="1000" w:type="pct"/>
            <w:vAlign w:val="center"/>
          </w:tcPr>
          <w:p w:rsidR="00F94BD2" w:rsidRPr="001E101C" w:rsidRDefault="004B2C1C" w:rsidP="002646D8">
            <w:pPr>
              <w:jc w:val="center"/>
              <w:rPr>
                <w:rFonts w:ascii="Arabic Typesetting" w:hAnsi="Arabic Typesetting" w:cs="Arabic Typesetting" w:hint="cs"/>
                <w:b/>
                <w:sz w:val="32"/>
                <w:szCs w:val="24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4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>0</w:t>
            </w: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%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 xml:space="preserve"> – </w:t>
            </w: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54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>%</w:t>
            </w:r>
          </w:p>
        </w:tc>
        <w:tc>
          <w:tcPr>
            <w:tcW w:w="1000" w:type="pct"/>
            <w:vAlign w:val="center"/>
          </w:tcPr>
          <w:p w:rsidR="00F94BD2" w:rsidRPr="001E101C" w:rsidRDefault="004B2C1C" w:rsidP="002646D8">
            <w:pPr>
              <w:jc w:val="center"/>
              <w:rPr>
                <w:rFonts w:ascii="Arabic Typesetting" w:hAnsi="Arabic Typesetting" w:cs="Arabic Typesetting" w:hint="cs"/>
                <w:b/>
                <w:sz w:val="32"/>
                <w:szCs w:val="24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55%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 xml:space="preserve"> – </w:t>
            </w: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69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>%</w:t>
            </w:r>
          </w:p>
        </w:tc>
        <w:tc>
          <w:tcPr>
            <w:tcW w:w="1000" w:type="pct"/>
            <w:vAlign w:val="center"/>
          </w:tcPr>
          <w:p w:rsidR="00F94BD2" w:rsidRPr="001E101C" w:rsidRDefault="004B2C1C" w:rsidP="002646D8">
            <w:pPr>
              <w:jc w:val="center"/>
              <w:rPr>
                <w:rFonts w:ascii="Arabic Typesetting" w:hAnsi="Arabic Typesetting" w:cs="Arabic Typesetting" w:hint="cs"/>
                <w:b/>
                <w:sz w:val="32"/>
                <w:szCs w:val="24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70%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 xml:space="preserve"> – 8</w:t>
            </w: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4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>%</w:t>
            </w:r>
          </w:p>
        </w:tc>
        <w:tc>
          <w:tcPr>
            <w:tcW w:w="1000" w:type="pct"/>
            <w:vAlign w:val="center"/>
          </w:tcPr>
          <w:p w:rsidR="00F94BD2" w:rsidRPr="001E101C" w:rsidRDefault="004B2C1C" w:rsidP="002646D8">
            <w:pPr>
              <w:jc w:val="center"/>
              <w:rPr>
                <w:rFonts w:ascii="Arabic Typesetting" w:hAnsi="Arabic Typesetting" w:cs="Arabic Typesetting" w:hint="cs"/>
                <w:b/>
                <w:sz w:val="32"/>
                <w:szCs w:val="24"/>
              </w:rPr>
            </w:pPr>
            <w:r>
              <w:rPr>
                <w:rFonts w:ascii="Arabic Typesetting" w:hAnsi="Arabic Typesetting" w:cs="Arabic Typesetting"/>
                <w:b/>
                <w:sz w:val="32"/>
                <w:szCs w:val="24"/>
              </w:rPr>
              <w:t>85%</w:t>
            </w:r>
            <w:r w:rsidR="00F94BD2" w:rsidRPr="001E101C">
              <w:rPr>
                <w:rFonts w:ascii="Arabic Typesetting" w:hAnsi="Arabic Typesetting" w:cs="Arabic Typesetting" w:hint="cs"/>
                <w:b/>
                <w:sz w:val="32"/>
                <w:szCs w:val="24"/>
              </w:rPr>
              <w:t xml:space="preserve"> – 100%</w:t>
            </w:r>
          </w:p>
        </w:tc>
      </w:tr>
    </w:tbl>
    <w:p w:rsidR="00F94BD2" w:rsidRDefault="00F94BD2" w:rsidP="00F94BD2">
      <w:pPr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4B2C1C" w:rsidRPr="00EB05C3" w:rsidRDefault="004B2C1C" w:rsidP="004B2C1C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EB05C3">
        <w:rPr>
          <w:rFonts w:ascii="Arabic Typesetting" w:hAnsi="Arabic Typesetting" w:cs="Arabic Typesetting"/>
          <w:sz w:val="32"/>
          <w:szCs w:val="32"/>
        </w:rPr>
        <w:t xml:space="preserve">Sve nenajavljene online provjere znanja služe kao ponavljanje i usustavljivanje naučenog i može ih se rješavati više puta. Najbolji ostvareni rezultat takvih provjera upisivat će se u bilješku na kraju svakog tjedna online nastave (formativno ocjenjivanje). </w:t>
      </w:r>
    </w:p>
    <w:p w:rsidR="004B2C1C" w:rsidRPr="00EB05C3" w:rsidRDefault="004B2C1C" w:rsidP="004B2C1C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EB05C3">
        <w:rPr>
          <w:rFonts w:ascii="Arabic Typesetting" w:hAnsi="Arabic Typesetting" w:cs="Arabic Typesetting"/>
          <w:sz w:val="32"/>
          <w:szCs w:val="32"/>
        </w:rPr>
        <w:t xml:space="preserve">Najavljena online provjera znanja rezultirat će </w:t>
      </w:r>
      <w:proofErr w:type="spellStart"/>
      <w:r w:rsidRPr="00EB05C3">
        <w:rPr>
          <w:rFonts w:ascii="Arabic Typesetting" w:hAnsi="Arabic Typesetting" w:cs="Arabic Typesetting"/>
          <w:sz w:val="32"/>
          <w:szCs w:val="32"/>
        </w:rPr>
        <w:t>sumativnom</w:t>
      </w:r>
      <w:proofErr w:type="spellEnd"/>
      <w:r w:rsidRPr="00EB05C3">
        <w:rPr>
          <w:rFonts w:ascii="Arabic Typesetting" w:hAnsi="Arabic Typesetting" w:cs="Arabic Typesetting"/>
          <w:sz w:val="32"/>
          <w:szCs w:val="32"/>
        </w:rPr>
        <w:t xml:space="preserve"> ocjenom i dopušteno je rješavati ju samo jednom i to u određenom vremenskom roku. </w:t>
      </w:r>
    </w:p>
    <w:p w:rsidR="006A4A82" w:rsidRPr="00EB05C3" w:rsidRDefault="006A4A82" w:rsidP="004B2C1C">
      <w:pPr>
        <w:pStyle w:val="Odlomakpopisa"/>
        <w:numPr>
          <w:ilvl w:val="0"/>
          <w:numId w:val="4"/>
        </w:numPr>
        <w:rPr>
          <w:rFonts w:hint="cs"/>
          <w:sz w:val="32"/>
          <w:szCs w:val="32"/>
        </w:rPr>
      </w:pPr>
      <w:r w:rsidRPr="00EB05C3">
        <w:rPr>
          <w:rFonts w:ascii="Arabic Typesetting" w:hAnsi="Arabic Typesetting" w:cs="Arabic Typesetting"/>
          <w:sz w:val="32"/>
          <w:szCs w:val="32"/>
        </w:rPr>
        <w:t>Učenicima koji zbog tehničkih ili zdravstvenih problema nisu pristupili najavljenoj online provjeri znanja u zadanom vremenskom roku ili su negativno ocijenjeni, bit će omogućeno ponovno pristupanje provjeri (u dogovoru s učiteljicom).</w:t>
      </w:r>
    </w:p>
    <w:p w:rsidR="006A4A82" w:rsidRDefault="006A4A82" w:rsidP="00F94BD2">
      <w:pPr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F94BD2" w:rsidRPr="001E101C" w:rsidRDefault="00F94BD2" w:rsidP="00F94BD2">
      <w:pPr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ISPRAVAK NEGATIVNE OCJENE</w:t>
      </w:r>
      <w:r w:rsidR="007856B5"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 xml:space="preserve"> (za učenike koji imaju negativnu ocjenu do 16.3.2020.)</w:t>
      </w:r>
    </w:p>
    <w:p w:rsidR="00F94BD2" w:rsidRPr="001E101C" w:rsidRDefault="00F94BD2" w:rsidP="00F94BD2">
      <w:pPr>
        <w:spacing w:after="0"/>
        <w:rPr>
          <w:rFonts w:ascii="Arabic Typesetting" w:hAnsi="Arabic Typesetting" w:cs="Arabic Typesetting" w:hint="cs"/>
          <w:sz w:val="32"/>
          <w:szCs w:val="38"/>
        </w:rPr>
      </w:pPr>
      <w:r w:rsidRPr="001E101C">
        <w:rPr>
          <w:rFonts w:ascii="Arabic Typesetting" w:hAnsi="Arabic Typesetting" w:cs="Arabic Typesetting" w:hint="cs"/>
          <w:sz w:val="32"/>
          <w:szCs w:val="38"/>
        </w:rPr>
        <w:t>Učenik/</w:t>
      </w:r>
      <w:proofErr w:type="spellStart"/>
      <w:r w:rsidRPr="001E101C">
        <w:rPr>
          <w:rFonts w:ascii="Arabic Typesetting" w:hAnsi="Arabic Typesetting" w:cs="Arabic Typesetting" w:hint="cs"/>
          <w:sz w:val="32"/>
          <w:szCs w:val="38"/>
        </w:rPr>
        <w:t>ca</w:t>
      </w:r>
      <w:proofErr w:type="spellEnd"/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</w:t>
      </w:r>
      <w:r w:rsidRPr="006A4A82">
        <w:rPr>
          <w:rFonts w:ascii="Arabic Typesetting" w:hAnsi="Arabic Typesetting" w:cs="Arabic Typesetting" w:hint="cs"/>
          <w:b/>
          <w:bCs/>
          <w:sz w:val="32"/>
          <w:szCs w:val="38"/>
        </w:rPr>
        <w:t>može ispravljati negativnu ocjenu</w:t>
      </w: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iz određene nastavne </w:t>
      </w:r>
      <w:r w:rsidR="006A4A82">
        <w:rPr>
          <w:rFonts w:ascii="Arabic Typesetting" w:hAnsi="Arabic Typesetting" w:cs="Arabic Typesetting"/>
          <w:sz w:val="32"/>
          <w:szCs w:val="38"/>
        </w:rPr>
        <w:t xml:space="preserve">cjeline </w:t>
      </w:r>
      <w:r w:rsidRPr="001E101C">
        <w:rPr>
          <w:rFonts w:ascii="Arabic Typesetting" w:hAnsi="Arabic Typesetting" w:cs="Arabic Typesetting" w:hint="cs"/>
          <w:sz w:val="32"/>
          <w:szCs w:val="38"/>
        </w:rPr>
        <w:t>za koji predmetna učiteljica smatra da ocjena mora biti pozitivna</w:t>
      </w:r>
      <w:r w:rsidR="006A4A82">
        <w:rPr>
          <w:rFonts w:ascii="Arabic Typesetting" w:hAnsi="Arabic Typesetting" w:cs="Arabic Typesetting"/>
          <w:sz w:val="32"/>
          <w:szCs w:val="38"/>
        </w:rPr>
        <w:t xml:space="preserve"> (da bi zaključna ocjena bila pozitivna)</w:t>
      </w:r>
      <w:r w:rsidR="00EB05C3">
        <w:rPr>
          <w:rFonts w:ascii="Arabic Typesetting" w:hAnsi="Arabic Typesetting" w:cs="Arabic Typesetting"/>
          <w:sz w:val="32"/>
          <w:szCs w:val="38"/>
        </w:rPr>
        <w:t>,</w:t>
      </w: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uz najavu predmetnoj učiteljici privatnom porukom u virtualnoj učionici na </w:t>
      </w:r>
      <w:proofErr w:type="spellStart"/>
      <w:r w:rsidRPr="001E101C">
        <w:rPr>
          <w:rFonts w:ascii="Arabic Typesetting" w:hAnsi="Arabic Typesetting" w:cs="Arabic Typesetting" w:hint="cs"/>
          <w:sz w:val="32"/>
          <w:szCs w:val="38"/>
        </w:rPr>
        <w:t>Yammeru</w:t>
      </w:r>
      <w:proofErr w:type="spellEnd"/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. </w:t>
      </w:r>
    </w:p>
    <w:p w:rsidR="006A4A82" w:rsidRDefault="006A4A82" w:rsidP="00F57F9C">
      <w:pPr>
        <w:rPr>
          <w:rFonts w:ascii="Arabic Typesetting" w:hAnsi="Arabic Typesetting" w:cs="Arabic Typesetting"/>
          <w:b/>
          <w:color w:val="0070C0"/>
          <w:sz w:val="36"/>
          <w:szCs w:val="32"/>
        </w:rPr>
      </w:pPr>
    </w:p>
    <w:p w:rsidR="00F57F9C" w:rsidRPr="001E101C" w:rsidRDefault="00F57F9C" w:rsidP="00F57F9C">
      <w:pPr>
        <w:rPr>
          <w:rFonts w:ascii="Arabic Typesetting" w:hAnsi="Arabic Typesetting" w:cs="Arabic Typesetting" w:hint="cs"/>
          <w:b/>
          <w:color w:val="0070C0"/>
          <w:sz w:val="36"/>
          <w:szCs w:val="32"/>
        </w:rPr>
      </w:pPr>
      <w:r w:rsidRPr="001E101C">
        <w:rPr>
          <w:rFonts w:ascii="Arabic Typesetting" w:hAnsi="Arabic Typesetting" w:cs="Arabic Typesetting" w:hint="cs"/>
          <w:b/>
          <w:color w:val="0070C0"/>
          <w:sz w:val="36"/>
          <w:szCs w:val="32"/>
        </w:rPr>
        <w:t>ZAKLJUČNA OCJENA</w:t>
      </w:r>
    </w:p>
    <w:p w:rsidR="00F57F9C" w:rsidRPr="001E101C" w:rsidRDefault="00F57F9C" w:rsidP="00F57F9C">
      <w:pPr>
        <w:spacing w:after="0"/>
        <w:rPr>
          <w:rFonts w:ascii="Arabic Typesetting" w:hAnsi="Arabic Typesetting" w:cs="Arabic Typesetting" w:hint="cs"/>
          <w:sz w:val="32"/>
          <w:szCs w:val="38"/>
        </w:rPr>
      </w:pP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U procesu donošenja odluke o zaključnoj ocjeni učitelj treba koristiti sve informacije koje je tijekom godine prikupio o svakom pojedinom učeniku i njegovu napredovanju, primjenom različitih pristupa vrednovanju. </w:t>
      </w:r>
    </w:p>
    <w:p w:rsidR="00F57F9C" w:rsidRPr="001E101C" w:rsidRDefault="00F57F9C" w:rsidP="00F57F9C">
      <w:pPr>
        <w:spacing w:after="0"/>
        <w:rPr>
          <w:rFonts w:ascii="Arabic Typesetting" w:hAnsi="Arabic Typesetting" w:cs="Arabic Typesetting" w:hint="cs"/>
          <w:sz w:val="32"/>
          <w:szCs w:val="38"/>
        </w:rPr>
      </w:pPr>
      <w:r w:rsidRPr="001E101C">
        <w:rPr>
          <w:rFonts w:ascii="Arabic Typesetting" w:hAnsi="Arabic Typesetting" w:cs="Arabic Typesetting" w:hint="cs"/>
          <w:sz w:val="32"/>
          <w:szCs w:val="38"/>
        </w:rPr>
        <w:t>Zaključna godišnja ocjena proizlazi iz cjelogodišnjeg rada kod kuće i na satu, te pokazane usvojenosti sadržaja kao i primjene znanja.</w:t>
      </w:r>
    </w:p>
    <w:p w:rsidR="00F57F9C" w:rsidRPr="001E101C" w:rsidRDefault="00F57F9C" w:rsidP="00F57F9C">
      <w:pPr>
        <w:spacing w:after="0"/>
        <w:rPr>
          <w:rFonts w:ascii="Arabic Typesetting" w:hAnsi="Arabic Typesetting" w:cs="Arabic Typesetting" w:hint="cs"/>
          <w:sz w:val="32"/>
          <w:szCs w:val="38"/>
        </w:rPr>
      </w:pP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Zaključna ocjena treba biti temeljena na što više vjerodostojnih, valjanih informacija o učenikovu učenju i napretku te na njegovim rezultatima i uradcima tijekom cijele školske, ali </w:t>
      </w:r>
      <w:r w:rsidRPr="001E101C">
        <w:rPr>
          <w:rFonts w:ascii="Arabic Typesetting" w:hAnsi="Arabic Typesetting" w:cs="Arabic Typesetting" w:hint="cs"/>
          <w:b/>
          <w:bCs/>
          <w:sz w:val="32"/>
          <w:szCs w:val="38"/>
        </w:rPr>
        <w:t>NE MORA</w:t>
      </w: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biti jednaka aritmetičkoj sredini pojedinačnih ocjena prikupljenih vrednovanjem naučenog (sukladno zakonskim propisima). </w:t>
      </w:r>
    </w:p>
    <w:p w:rsidR="00F57F9C" w:rsidRPr="001E101C" w:rsidRDefault="00F57F9C" w:rsidP="00F57F9C">
      <w:pPr>
        <w:spacing w:after="0"/>
        <w:rPr>
          <w:rFonts w:ascii="Arabic Typesetting" w:hAnsi="Arabic Typesetting" w:cs="Arabic Typesetting" w:hint="cs"/>
          <w:sz w:val="32"/>
          <w:szCs w:val="38"/>
        </w:rPr>
      </w:pP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U zaključnoj ocjeni </w:t>
      </w:r>
      <w:r w:rsidRPr="001E101C">
        <w:rPr>
          <w:rFonts w:ascii="Arabic Typesetting" w:hAnsi="Arabic Typesetting" w:cs="Arabic Typesetting" w:hint="cs"/>
          <w:b/>
          <w:bCs/>
          <w:sz w:val="32"/>
          <w:szCs w:val="38"/>
        </w:rPr>
        <w:t>JEDNAK</w:t>
      </w: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udio čine ocjene iz </w:t>
      </w:r>
      <w:r w:rsidR="00AA5F9C" w:rsidRPr="001E101C">
        <w:rPr>
          <w:rFonts w:ascii="Arabic Typesetting" w:hAnsi="Arabic Typesetting" w:cs="Arabic Typesetting" w:hint="cs"/>
          <w:sz w:val="32"/>
          <w:szCs w:val="38"/>
        </w:rPr>
        <w:t>svih</w:t>
      </w: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elementa vrednovanja (usvojenost znanja i</w:t>
      </w:r>
      <w:r w:rsidR="00AA5F9C" w:rsidRPr="001E101C">
        <w:rPr>
          <w:rFonts w:ascii="Arabic Typesetting" w:hAnsi="Arabic Typesetting" w:cs="Arabic Typesetting" w:hint="cs"/>
          <w:sz w:val="32"/>
          <w:szCs w:val="38"/>
        </w:rPr>
        <w:t xml:space="preserve"> vještina, matematička komunikacija, rješavanje problema</w:t>
      </w: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), uzimajući u obzir i bilješke o napredovanju učenika u realizaciji zadanih ishoda. Formativno (bilješke) i </w:t>
      </w:r>
      <w:proofErr w:type="spellStart"/>
      <w:r w:rsidRPr="001E101C">
        <w:rPr>
          <w:rFonts w:ascii="Arabic Typesetting" w:hAnsi="Arabic Typesetting" w:cs="Arabic Typesetting" w:hint="cs"/>
          <w:sz w:val="32"/>
          <w:szCs w:val="38"/>
        </w:rPr>
        <w:t>sumativno</w:t>
      </w:r>
      <w:proofErr w:type="spellEnd"/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(brojčana ocjena) vrednovanje</w:t>
      </w:r>
      <w:r w:rsidRPr="001E101C">
        <w:rPr>
          <w:rFonts w:ascii="Arabic Typesetting" w:hAnsi="Arabic Typesetting" w:cs="Arabic Typesetting" w:hint="cs"/>
          <w:b/>
          <w:bCs/>
          <w:sz w:val="32"/>
          <w:szCs w:val="38"/>
        </w:rPr>
        <w:t xml:space="preserve"> JEDNAKO</w:t>
      </w:r>
      <w:r w:rsidRPr="001E101C">
        <w:rPr>
          <w:rFonts w:ascii="Arabic Typesetting" w:hAnsi="Arabic Typesetting" w:cs="Arabic Typesetting" w:hint="cs"/>
          <w:sz w:val="32"/>
          <w:szCs w:val="38"/>
        </w:rPr>
        <w:t xml:space="preserve"> je važno u određivanju zaključne ocjene. </w:t>
      </w:r>
    </w:p>
    <w:p w:rsidR="00F57F9C" w:rsidRPr="001E101C" w:rsidRDefault="00F57F9C" w:rsidP="00F57F9C">
      <w:pPr>
        <w:spacing w:after="0"/>
        <w:rPr>
          <w:rFonts w:ascii="Arabic Typesetting" w:hAnsi="Arabic Typesetting" w:cs="Arabic Typesetting" w:hint="cs"/>
          <w:sz w:val="32"/>
          <w:szCs w:val="38"/>
        </w:rPr>
      </w:pPr>
      <w:r w:rsidRPr="001E101C">
        <w:rPr>
          <w:rFonts w:ascii="Arabic Typesetting" w:hAnsi="Arabic Typesetting" w:cs="Arabic Typesetting" w:hint="cs"/>
          <w:sz w:val="32"/>
          <w:szCs w:val="38"/>
        </w:rPr>
        <w:t>Elementi, načini i postupci u procesu zaključivanja ocjene navedeni su u gore navedenim tablicama.</w:t>
      </w:r>
    </w:p>
    <w:p w:rsidR="00F57F9C" w:rsidRPr="001E101C" w:rsidRDefault="00F57F9C">
      <w:pPr>
        <w:rPr>
          <w:rFonts w:ascii="Arabic Typesetting" w:hAnsi="Arabic Typesetting" w:cs="Arabic Typesetting" w:hint="cs"/>
        </w:rPr>
      </w:pPr>
    </w:p>
    <w:sectPr w:rsidR="00F57F9C" w:rsidRPr="001E101C" w:rsidSect="001E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35C"/>
    <w:multiLevelType w:val="hybridMultilevel"/>
    <w:tmpl w:val="52B413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7DA"/>
    <w:multiLevelType w:val="hybridMultilevel"/>
    <w:tmpl w:val="CABC0EB4"/>
    <w:lvl w:ilvl="0" w:tplc="9F2CC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092AF7"/>
    <w:multiLevelType w:val="hybridMultilevel"/>
    <w:tmpl w:val="0BDC58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1C08"/>
    <w:multiLevelType w:val="hybridMultilevel"/>
    <w:tmpl w:val="D8FCC1BA"/>
    <w:lvl w:ilvl="0" w:tplc="B02E80AC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C"/>
    <w:rsid w:val="00052FFD"/>
    <w:rsid w:val="000D328C"/>
    <w:rsid w:val="001E101C"/>
    <w:rsid w:val="004B2C1C"/>
    <w:rsid w:val="006A4A82"/>
    <w:rsid w:val="007856B5"/>
    <w:rsid w:val="00AA5F9C"/>
    <w:rsid w:val="00D84BAC"/>
    <w:rsid w:val="00DD4499"/>
    <w:rsid w:val="00EB05C3"/>
    <w:rsid w:val="00F57F9C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0978"/>
  <w15:chartTrackingRefBased/>
  <w15:docId w15:val="{F03A3BA7-9963-4441-B904-84C1C101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Kristina Jurjak</cp:lastModifiedBy>
  <cp:revision>5</cp:revision>
  <dcterms:created xsi:type="dcterms:W3CDTF">2020-04-19T14:31:00Z</dcterms:created>
  <dcterms:modified xsi:type="dcterms:W3CDTF">2020-04-22T08:53:00Z</dcterms:modified>
</cp:coreProperties>
</file>